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46" w:rsidRDefault="00696374" w:rsidP="00247C31">
      <w:pPr>
        <w:ind w:left="709" w:right="85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>Nejvíce nových bytů se prodává v Praze 5</w:t>
      </w:r>
    </w:p>
    <w:p w:rsidR="005E7F58" w:rsidRDefault="00696374" w:rsidP="00696374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</w:t>
      </w:r>
      <w:r w:rsidR="00C96F79">
        <w:rPr>
          <w:rFonts w:ascii="Arial" w:hAnsi="Arial" w:cs="Arial"/>
          <w:sz w:val="24"/>
        </w:rPr>
        <w:t>3</w:t>
      </w:r>
      <w:r w:rsidR="00247C31">
        <w:rPr>
          <w:rFonts w:ascii="Arial" w:hAnsi="Arial" w:cs="Arial"/>
          <w:sz w:val="24"/>
        </w:rPr>
        <w:t>.</w:t>
      </w:r>
      <w:r w:rsidR="00247C31"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</w:t>
      </w:r>
      <w:r w:rsidR="00247C31" w:rsidRPr="00FC6630">
        <w:rPr>
          <w:rFonts w:ascii="Arial" w:hAnsi="Arial" w:cs="Arial"/>
          <w:sz w:val="24"/>
        </w:rPr>
        <w:t>. 201</w:t>
      </w:r>
      <w:r w:rsidR="00C40509">
        <w:rPr>
          <w:rFonts w:ascii="Arial" w:hAnsi="Arial" w:cs="Arial"/>
          <w:sz w:val="24"/>
        </w:rPr>
        <w:t>8</w:t>
      </w:r>
      <w:r w:rsidR="00247C31" w:rsidRPr="00FC6630">
        <w:rPr>
          <w:rFonts w:ascii="Arial" w:hAnsi="Arial" w:cs="Arial"/>
          <w:sz w:val="24"/>
        </w:rPr>
        <w:t xml:space="preserve"> Praha </w:t>
      </w:r>
      <w:r w:rsidR="00247C31">
        <w:rPr>
          <w:rFonts w:ascii="Arial" w:hAnsi="Arial" w:cs="Arial"/>
          <w:sz w:val="24"/>
        </w:rPr>
        <w:t>–</w:t>
      </w:r>
      <w:r w:rsidR="00C40509">
        <w:rPr>
          <w:rFonts w:ascii="Arial" w:hAnsi="Arial" w:cs="Arial"/>
          <w:sz w:val="24"/>
        </w:rPr>
        <w:t xml:space="preserve"> </w:t>
      </w:r>
      <w:r w:rsidR="00C96F79">
        <w:rPr>
          <w:rFonts w:ascii="Arial" w:hAnsi="Arial" w:cs="Arial"/>
          <w:b/>
          <w:sz w:val="24"/>
        </w:rPr>
        <w:t xml:space="preserve">Nejvíce nových bytů v Praze se pravidelně prodává v páté a deváté městské části. První </w:t>
      </w:r>
      <w:r w:rsidR="00C81027">
        <w:rPr>
          <w:rFonts w:ascii="Arial" w:hAnsi="Arial" w:cs="Arial"/>
          <w:b/>
          <w:sz w:val="24"/>
        </w:rPr>
        <w:t>dvojice</w:t>
      </w:r>
      <w:r w:rsidR="00C96F7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se letos nemění, stejná místa obsadily obě lokality i ve třetím čtvrtletí. Pětka obhájila prvenství z předchozího kvartálu s velkým náskokem, hlavně díky oblibě Smíchova.</w:t>
      </w:r>
      <w:r w:rsidR="00C96F79">
        <w:rPr>
          <w:rFonts w:ascii="Arial" w:hAnsi="Arial" w:cs="Arial"/>
          <w:b/>
          <w:sz w:val="24"/>
        </w:rPr>
        <w:t xml:space="preserve"> </w:t>
      </w:r>
      <w:r w:rsidR="00B23717" w:rsidRPr="00FA1CB1">
        <w:rPr>
          <w:rFonts w:ascii="Arial" w:hAnsi="Arial" w:cs="Arial"/>
          <w:b/>
          <w:sz w:val="24"/>
        </w:rPr>
        <w:t xml:space="preserve">Vyplývá to z podrobných statistik společnosti EKOSPOL, která pražský rezidenční trh monitoruje už </w:t>
      </w:r>
      <w:r w:rsidR="00B23717">
        <w:rPr>
          <w:rFonts w:ascii="Arial" w:hAnsi="Arial" w:cs="Arial"/>
          <w:b/>
          <w:sz w:val="24"/>
        </w:rPr>
        <w:t>jedenáct</w:t>
      </w:r>
      <w:r w:rsidR="00C96F79">
        <w:rPr>
          <w:rFonts w:ascii="Arial" w:hAnsi="Arial" w:cs="Arial"/>
          <w:b/>
          <w:sz w:val="24"/>
        </w:rPr>
        <w:t xml:space="preserve"> let.</w:t>
      </w:r>
    </w:p>
    <w:p w:rsidR="007447F2" w:rsidRDefault="00B23717" w:rsidP="00DB32C7">
      <w:pPr>
        <w:ind w:left="567" w:right="141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V Praze se </w:t>
      </w:r>
      <w:r w:rsidR="005E7F58">
        <w:rPr>
          <w:rFonts w:ascii="Arial" w:hAnsi="Arial" w:cs="Arial"/>
          <w:sz w:val="24"/>
        </w:rPr>
        <w:t xml:space="preserve">během </w:t>
      </w:r>
      <w:r w:rsidR="00696374">
        <w:rPr>
          <w:rFonts w:ascii="Arial" w:hAnsi="Arial" w:cs="Arial"/>
          <w:sz w:val="24"/>
        </w:rPr>
        <w:t>třetího</w:t>
      </w:r>
      <w:r w:rsidR="005E7F58">
        <w:rPr>
          <w:rFonts w:ascii="Arial" w:hAnsi="Arial" w:cs="Arial"/>
          <w:sz w:val="24"/>
        </w:rPr>
        <w:t xml:space="preserve"> čtvrtletí letošního roku</w:t>
      </w:r>
      <w:r>
        <w:rPr>
          <w:rFonts w:ascii="Arial" w:hAnsi="Arial" w:cs="Arial"/>
          <w:sz w:val="24"/>
        </w:rPr>
        <w:t xml:space="preserve"> prodalo celkem </w:t>
      </w:r>
      <w:r w:rsidR="00C96F79">
        <w:rPr>
          <w:rFonts w:ascii="Arial" w:hAnsi="Arial" w:cs="Arial"/>
          <w:sz w:val="24"/>
        </w:rPr>
        <w:t>1</w:t>
      </w:r>
      <w:r w:rsidR="00696374">
        <w:rPr>
          <w:rFonts w:ascii="Arial" w:hAnsi="Arial" w:cs="Arial"/>
          <w:sz w:val="24"/>
        </w:rPr>
        <w:t>035</w:t>
      </w:r>
      <w:r>
        <w:rPr>
          <w:rFonts w:ascii="Arial" w:hAnsi="Arial" w:cs="Arial"/>
          <w:sz w:val="24"/>
        </w:rPr>
        <w:t xml:space="preserve"> nových bytů. „</w:t>
      </w:r>
      <w:r w:rsidRPr="00514B11">
        <w:rPr>
          <w:rFonts w:ascii="Arial" w:hAnsi="Arial" w:cs="Arial"/>
          <w:i/>
          <w:sz w:val="24"/>
        </w:rPr>
        <w:t xml:space="preserve">Z toho se </w:t>
      </w:r>
      <w:r w:rsidR="007447F2">
        <w:rPr>
          <w:rFonts w:ascii="Arial" w:hAnsi="Arial" w:cs="Arial"/>
          <w:i/>
          <w:sz w:val="24"/>
        </w:rPr>
        <w:t>268</w:t>
      </w:r>
      <w:r>
        <w:rPr>
          <w:rFonts w:ascii="Arial" w:hAnsi="Arial" w:cs="Arial"/>
          <w:i/>
          <w:sz w:val="24"/>
        </w:rPr>
        <w:t xml:space="preserve"> bytů </w:t>
      </w:r>
      <w:r w:rsidRPr="00514B11">
        <w:rPr>
          <w:rFonts w:ascii="Arial" w:hAnsi="Arial" w:cs="Arial"/>
          <w:i/>
          <w:sz w:val="24"/>
        </w:rPr>
        <w:t xml:space="preserve">nacházelo na území Prahy </w:t>
      </w:r>
      <w:r w:rsidR="00823198">
        <w:rPr>
          <w:rFonts w:ascii="Arial" w:hAnsi="Arial" w:cs="Arial"/>
          <w:i/>
          <w:sz w:val="24"/>
        </w:rPr>
        <w:t>5</w:t>
      </w:r>
      <w:r w:rsidR="007447F2">
        <w:rPr>
          <w:rFonts w:ascii="Arial" w:hAnsi="Arial" w:cs="Arial"/>
          <w:i/>
          <w:sz w:val="24"/>
        </w:rPr>
        <w:t xml:space="preserve">, což je jen o jeden méně, než ve druhém čtvrtletí. Druhé místo s odstupem uhájila Praha 9 se 183 prodanými novými byty. Třetí skončila Praha 10 se 128 prodanými byty, která si tak o jednu příčku polepšila. Přes hranici sta prodaných bytů se dostala už jen Praha 4 (111 prodaných bytů,“ </w:t>
      </w:r>
      <w:r w:rsidR="007447F2" w:rsidRPr="007447F2">
        <w:rPr>
          <w:rFonts w:ascii="Arial" w:hAnsi="Arial" w:cs="Arial"/>
          <w:sz w:val="24"/>
        </w:rPr>
        <w:t xml:space="preserve">přibližuje prodejní statistiky generální ředitel a předseda představenstva developerské společnosti </w:t>
      </w:r>
      <w:r w:rsidR="007447F2">
        <w:rPr>
          <w:rFonts w:ascii="Arial" w:hAnsi="Arial" w:cs="Arial"/>
          <w:sz w:val="24"/>
        </w:rPr>
        <w:t>EKOSPOL</w:t>
      </w:r>
      <w:r w:rsidR="007447F2" w:rsidRPr="007447F2">
        <w:rPr>
          <w:rFonts w:ascii="Arial" w:hAnsi="Arial" w:cs="Arial"/>
          <w:sz w:val="24"/>
        </w:rPr>
        <w:t xml:space="preserve"> Evžen Korec.</w:t>
      </w:r>
    </w:p>
    <w:p w:rsidR="00B23717" w:rsidRDefault="005E7F58" w:rsidP="00DB32C7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  <w:r w:rsidR="003F3E2C">
        <w:rPr>
          <w:rFonts w:ascii="Arial" w:hAnsi="Arial"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362.25pt">
            <v:imagedata r:id="rId7" o:title="Praha_3Q_prodane_2018_upraveno"/>
          </v:shape>
        </w:pict>
      </w:r>
    </w:p>
    <w:p w:rsidR="000300E0" w:rsidRDefault="000300E0" w:rsidP="000300E0">
      <w:pPr>
        <w:ind w:left="567" w:right="141"/>
        <w:jc w:val="center"/>
        <w:rPr>
          <w:rFonts w:ascii="Arial" w:hAnsi="Arial" w:cs="Arial"/>
          <w:sz w:val="24"/>
        </w:rPr>
      </w:pPr>
    </w:p>
    <w:p w:rsidR="007447F2" w:rsidRDefault="007447F2" w:rsidP="007447F2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Nejmenší zájem kupujících byl už tradičně o nejužší centrum města, nejméně nových bytů se tak prodalo v Praze 1. Příliš se neprodávaly nové byty ani v Praze 2</w:t>
      </w:r>
      <w:r w:rsidR="00B113E8">
        <w:rPr>
          <w:rFonts w:ascii="Arial" w:hAnsi="Arial" w:cs="Arial"/>
          <w:sz w:val="24"/>
        </w:rPr>
        <w:t>, 3 a 7.</w:t>
      </w:r>
    </w:p>
    <w:p w:rsidR="007447F2" w:rsidRDefault="00B55878" w:rsidP="00B55878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7447F2">
        <w:rPr>
          <w:rFonts w:ascii="Arial" w:hAnsi="Arial" w:cs="Arial"/>
          <w:sz w:val="24"/>
        </w:rPr>
        <w:t>„</w:t>
      </w:r>
      <w:r w:rsidR="007447F2" w:rsidRPr="007447F2">
        <w:rPr>
          <w:rFonts w:ascii="Arial" w:hAnsi="Arial" w:cs="Arial"/>
          <w:i/>
          <w:sz w:val="24"/>
        </w:rPr>
        <w:t>Statistiky prodejů jasně ukazují, které lokality lidé preferují. Vyhledávají hlavně okrajovější části Prahy, které jim nabízejí více možností. Ať už je to bydlení v zeleni či výborná občanská vybavenost v místě. Zásadním faktorem je také cena, která je v těchto lokalitách výrazně nižší než v centru. Tam vyjde metr čtvereční nového bytu průměrně na dvojnásobek, často si navíc zájemci musí připlatit ještě více</w:t>
      </w:r>
      <w:r w:rsidR="007447F2">
        <w:rPr>
          <w:rFonts w:ascii="Arial" w:hAnsi="Arial" w:cs="Arial"/>
          <w:sz w:val="24"/>
        </w:rPr>
        <w:t>,“ podotýká Korec.</w:t>
      </w:r>
    </w:p>
    <w:p w:rsidR="007447F2" w:rsidRDefault="007447F2" w:rsidP="00B55878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Ani nové vedení pražského magistrátu, které vzejde ze čtvrtečního hlasování obměněného zastupitelstva, by proto nemělo na tyto lokality zapomínat. </w:t>
      </w:r>
      <w:r w:rsidR="00B113E8">
        <w:rPr>
          <w:rFonts w:ascii="Arial" w:hAnsi="Arial" w:cs="Arial"/>
          <w:sz w:val="24"/>
        </w:rPr>
        <w:t>„</w:t>
      </w:r>
      <w:r w:rsidR="00B113E8" w:rsidRPr="00B113E8">
        <w:rPr>
          <w:rFonts w:ascii="Arial" w:hAnsi="Arial" w:cs="Arial"/>
          <w:i/>
          <w:sz w:val="24"/>
        </w:rPr>
        <w:t xml:space="preserve">Určitě vítáme deklarovanou snahu odblokovat výstavbu na zanedbaných </w:t>
      </w:r>
      <w:proofErr w:type="spellStart"/>
      <w:r w:rsidR="00B113E8" w:rsidRPr="00B113E8">
        <w:rPr>
          <w:rFonts w:ascii="Arial" w:hAnsi="Arial" w:cs="Arial"/>
          <w:i/>
          <w:sz w:val="24"/>
        </w:rPr>
        <w:t>brownfieldech</w:t>
      </w:r>
      <w:proofErr w:type="spellEnd"/>
      <w:r w:rsidR="00B113E8" w:rsidRPr="00B113E8">
        <w:rPr>
          <w:rFonts w:ascii="Arial" w:hAnsi="Arial" w:cs="Arial"/>
          <w:i/>
          <w:sz w:val="24"/>
        </w:rPr>
        <w:t xml:space="preserve"> v širším centru Prahy. </w:t>
      </w:r>
      <w:r w:rsidR="00B113E8" w:rsidRPr="00B113E8">
        <w:rPr>
          <w:rFonts w:ascii="Arial" w:hAnsi="Arial" w:cs="Arial"/>
          <w:i/>
          <w:sz w:val="24"/>
        </w:rPr>
        <w:t xml:space="preserve">Přestavba nevyužívaných továrních či jiných areálů je nezbytná, ale často velmi vysoké náklady na sanaci pozemků se zákonitě promítnou do ceny </w:t>
      </w:r>
      <w:r w:rsidR="00B113E8" w:rsidRPr="00B113E8">
        <w:rPr>
          <w:rFonts w:ascii="Arial" w:hAnsi="Arial" w:cs="Arial"/>
          <w:i/>
          <w:sz w:val="24"/>
        </w:rPr>
        <w:t xml:space="preserve">zde postavených </w:t>
      </w:r>
      <w:r w:rsidR="00B113E8" w:rsidRPr="00B113E8">
        <w:rPr>
          <w:rFonts w:ascii="Arial" w:hAnsi="Arial" w:cs="Arial"/>
          <w:i/>
          <w:sz w:val="24"/>
        </w:rPr>
        <w:t xml:space="preserve">bytů. </w:t>
      </w:r>
      <w:r w:rsidR="00B113E8" w:rsidRPr="00B113E8">
        <w:rPr>
          <w:rFonts w:ascii="Arial" w:hAnsi="Arial" w:cs="Arial"/>
          <w:i/>
          <w:sz w:val="24"/>
        </w:rPr>
        <w:t xml:space="preserve">Pokud chceme na trh dostat dostatek bytů dostupných všem příjmovým kategoriím, musíme umožnit výstavbu také v okrajových lokalitách, kde jsou pozemky levnější a náklady na jejich přípravu </w:t>
      </w:r>
      <w:r w:rsidR="00E84D2A">
        <w:rPr>
          <w:rFonts w:ascii="Arial" w:hAnsi="Arial" w:cs="Arial"/>
          <w:i/>
          <w:sz w:val="24"/>
        </w:rPr>
        <w:t>ke</w:t>
      </w:r>
      <w:r w:rsidR="00B113E8" w:rsidRPr="00B113E8">
        <w:rPr>
          <w:rFonts w:ascii="Arial" w:hAnsi="Arial" w:cs="Arial"/>
          <w:i/>
          <w:sz w:val="24"/>
        </w:rPr>
        <w:t xml:space="preserve"> stavbě </w:t>
      </w:r>
      <w:r w:rsidR="00E84D2A">
        <w:rPr>
          <w:rFonts w:ascii="Arial" w:hAnsi="Arial" w:cs="Arial"/>
          <w:i/>
          <w:sz w:val="24"/>
        </w:rPr>
        <w:t xml:space="preserve">jsou </w:t>
      </w:r>
      <w:r w:rsidR="00B113E8" w:rsidRPr="00B113E8">
        <w:rPr>
          <w:rFonts w:ascii="Arial" w:hAnsi="Arial" w:cs="Arial"/>
          <w:i/>
          <w:sz w:val="24"/>
        </w:rPr>
        <w:t>výrazně nižší</w:t>
      </w:r>
      <w:r w:rsidR="00B113E8">
        <w:rPr>
          <w:rFonts w:ascii="Arial" w:hAnsi="Arial" w:cs="Arial"/>
          <w:sz w:val="24"/>
        </w:rPr>
        <w:t>,“ připomíná developer Korec.</w:t>
      </w:r>
    </w:p>
    <w:p w:rsidR="00182703" w:rsidRDefault="00182703" w:rsidP="00B55878">
      <w:pPr>
        <w:ind w:left="567" w:right="141"/>
        <w:rPr>
          <w:rFonts w:ascii="Arial" w:hAnsi="Arial" w:cs="Arial"/>
          <w:sz w:val="24"/>
        </w:rPr>
      </w:pPr>
    </w:p>
    <w:p w:rsidR="00D45C8E" w:rsidRDefault="00D45C8E" w:rsidP="00182703">
      <w:pPr>
        <w:pStyle w:val="Podtitul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Prodané nové byty v jednotlivých městských částech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750"/>
        <w:gridCol w:w="2747"/>
        <w:gridCol w:w="2747"/>
        <w:gridCol w:w="2519"/>
      </w:tblGrid>
      <w:tr w:rsidR="00B113E8" w:rsidRPr="00D45C8E" w:rsidTr="00B113E8">
        <w:tc>
          <w:tcPr>
            <w:tcW w:w="2750" w:type="dxa"/>
          </w:tcPr>
          <w:p w:rsidR="00B113E8" w:rsidRPr="00D45C8E" w:rsidRDefault="00B113E8" w:rsidP="00D45C8E">
            <w:pPr>
              <w:jc w:val="center"/>
              <w:rPr>
                <w:b/>
              </w:rPr>
            </w:pPr>
            <w:r w:rsidRPr="00D45C8E">
              <w:rPr>
                <w:b/>
              </w:rPr>
              <w:t>Lokalita</w:t>
            </w:r>
          </w:p>
        </w:tc>
        <w:tc>
          <w:tcPr>
            <w:tcW w:w="2747" w:type="dxa"/>
          </w:tcPr>
          <w:p w:rsidR="00B113E8" w:rsidRPr="00D45C8E" w:rsidRDefault="00B113E8" w:rsidP="00D45C8E">
            <w:pPr>
              <w:jc w:val="center"/>
              <w:rPr>
                <w:b/>
              </w:rPr>
            </w:pPr>
            <w:r w:rsidRPr="00D45C8E">
              <w:rPr>
                <w:b/>
              </w:rPr>
              <w:t>1. čtvrtletí 2018</w:t>
            </w:r>
          </w:p>
        </w:tc>
        <w:tc>
          <w:tcPr>
            <w:tcW w:w="2747" w:type="dxa"/>
          </w:tcPr>
          <w:p w:rsidR="00B113E8" w:rsidRPr="00D45C8E" w:rsidRDefault="00B113E8" w:rsidP="00D45C8E">
            <w:pPr>
              <w:jc w:val="center"/>
              <w:rPr>
                <w:b/>
              </w:rPr>
            </w:pPr>
            <w:r w:rsidRPr="00D45C8E">
              <w:rPr>
                <w:b/>
              </w:rPr>
              <w:t>2. čtvrtletí 2018</w:t>
            </w:r>
          </w:p>
        </w:tc>
        <w:tc>
          <w:tcPr>
            <w:tcW w:w="2519" w:type="dxa"/>
          </w:tcPr>
          <w:p w:rsidR="00B113E8" w:rsidRPr="00D45C8E" w:rsidRDefault="00B113E8" w:rsidP="00D45C8E">
            <w:pPr>
              <w:jc w:val="center"/>
              <w:rPr>
                <w:b/>
              </w:rPr>
            </w:pPr>
            <w:r>
              <w:rPr>
                <w:b/>
              </w:rPr>
              <w:t>3. čtvrtletí 2018</w:t>
            </w:r>
          </w:p>
        </w:tc>
      </w:tr>
      <w:tr w:rsidR="00B113E8" w:rsidTr="00B113E8">
        <w:tc>
          <w:tcPr>
            <w:tcW w:w="2750" w:type="dxa"/>
          </w:tcPr>
          <w:p w:rsidR="00B113E8" w:rsidRDefault="00B113E8" w:rsidP="00182703">
            <w:pPr>
              <w:jc w:val="center"/>
            </w:pPr>
            <w:r>
              <w:t>Praha 1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19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48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</w:pPr>
            <w:r>
              <w:t>33</w:t>
            </w:r>
          </w:p>
        </w:tc>
      </w:tr>
      <w:tr w:rsidR="00B113E8" w:rsidTr="00B113E8">
        <w:tc>
          <w:tcPr>
            <w:tcW w:w="2750" w:type="dxa"/>
          </w:tcPr>
          <w:p w:rsidR="00B113E8" w:rsidRDefault="00B113E8" w:rsidP="00182703">
            <w:pPr>
              <w:jc w:val="center"/>
            </w:pPr>
            <w:r>
              <w:t>Praha 2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11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72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</w:pPr>
            <w:r>
              <w:t>82</w:t>
            </w:r>
          </w:p>
        </w:tc>
      </w:tr>
      <w:tr w:rsidR="00B113E8" w:rsidTr="00B113E8">
        <w:tc>
          <w:tcPr>
            <w:tcW w:w="2750" w:type="dxa"/>
          </w:tcPr>
          <w:p w:rsidR="00B113E8" w:rsidRPr="00D45C8E" w:rsidRDefault="00B113E8" w:rsidP="00182703">
            <w:pPr>
              <w:jc w:val="center"/>
              <w:rPr>
                <w:b/>
              </w:rPr>
            </w:pPr>
            <w:r>
              <w:t>Praha 3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53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56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</w:pPr>
            <w:r>
              <w:t>42</w:t>
            </w:r>
          </w:p>
        </w:tc>
      </w:tr>
      <w:tr w:rsidR="00B113E8" w:rsidTr="00B113E8">
        <w:tc>
          <w:tcPr>
            <w:tcW w:w="2750" w:type="dxa"/>
          </w:tcPr>
          <w:p w:rsidR="00B113E8" w:rsidRDefault="00B113E8" w:rsidP="00182703">
            <w:pPr>
              <w:jc w:val="center"/>
            </w:pPr>
            <w:r>
              <w:t>Praha 4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119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201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</w:pPr>
            <w:r>
              <w:t>111</w:t>
            </w:r>
          </w:p>
        </w:tc>
      </w:tr>
      <w:tr w:rsidR="00B113E8" w:rsidTr="00B113E8">
        <w:tc>
          <w:tcPr>
            <w:tcW w:w="2750" w:type="dxa"/>
          </w:tcPr>
          <w:p w:rsidR="00B113E8" w:rsidRDefault="00B113E8" w:rsidP="00182703">
            <w:pPr>
              <w:jc w:val="center"/>
            </w:pPr>
            <w:r>
              <w:t>Praha 5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257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269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</w:pPr>
            <w:r>
              <w:t>268</w:t>
            </w:r>
          </w:p>
        </w:tc>
      </w:tr>
      <w:tr w:rsidR="00B113E8" w:rsidTr="00B113E8">
        <w:tc>
          <w:tcPr>
            <w:tcW w:w="2750" w:type="dxa"/>
          </w:tcPr>
          <w:p w:rsidR="00B113E8" w:rsidRDefault="00B113E8" w:rsidP="00182703">
            <w:pPr>
              <w:jc w:val="center"/>
            </w:pPr>
            <w:r>
              <w:t>Praha 6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80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60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</w:pPr>
            <w:r>
              <w:t>56</w:t>
            </w:r>
          </w:p>
        </w:tc>
      </w:tr>
      <w:tr w:rsidR="00B113E8" w:rsidTr="00B113E8">
        <w:tc>
          <w:tcPr>
            <w:tcW w:w="2750" w:type="dxa"/>
          </w:tcPr>
          <w:p w:rsidR="00B113E8" w:rsidRDefault="00B113E8" w:rsidP="00182703">
            <w:pPr>
              <w:jc w:val="center"/>
            </w:pPr>
            <w:r>
              <w:t>Praha 7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57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71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</w:pPr>
            <w:r>
              <w:t>38</w:t>
            </w:r>
          </w:p>
        </w:tc>
      </w:tr>
      <w:tr w:rsidR="00B113E8" w:rsidTr="00B113E8">
        <w:tc>
          <w:tcPr>
            <w:tcW w:w="2750" w:type="dxa"/>
          </w:tcPr>
          <w:p w:rsidR="00B113E8" w:rsidRDefault="00B113E8" w:rsidP="00182703">
            <w:pPr>
              <w:jc w:val="center"/>
            </w:pPr>
            <w:r>
              <w:t>Praha 8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77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103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</w:pPr>
            <w:r>
              <w:t>94</w:t>
            </w:r>
          </w:p>
        </w:tc>
      </w:tr>
      <w:tr w:rsidR="00B113E8" w:rsidTr="00B113E8">
        <w:tc>
          <w:tcPr>
            <w:tcW w:w="2750" w:type="dxa"/>
          </w:tcPr>
          <w:p w:rsidR="00B113E8" w:rsidRDefault="00B113E8" w:rsidP="00182703">
            <w:pPr>
              <w:jc w:val="center"/>
            </w:pPr>
            <w:r>
              <w:t>Praha 9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301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241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</w:pPr>
            <w:r>
              <w:t>183</w:t>
            </w:r>
          </w:p>
        </w:tc>
      </w:tr>
      <w:tr w:rsidR="00B113E8" w:rsidTr="00B113E8">
        <w:tc>
          <w:tcPr>
            <w:tcW w:w="2750" w:type="dxa"/>
          </w:tcPr>
          <w:p w:rsidR="00B113E8" w:rsidRDefault="00B113E8" w:rsidP="00182703">
            <w:pPr>
              <w:jc w:val="center"/>
            </w:pPr>
            <w:r>
              <w:t>Praha 10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186</w:t>
            </w:r>
          </w:p>
        </w:tc>
        <w:tc>
          <w:tcPr>
            <w:tcW w:w="2747" w:type="dxa"/>
          </w:tcPr>
          <w:p w:rsidR="00B113E8" w:rsidRDefault="00B113E8" w:rsidP="00182703">
            <w:pPr>
              <w:jc w:val="center"/>
            </w:pPr>
            <w:r>
              <w:t>171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</w:pPr>
            <w:r>
              <w:t>128</w:t>
            </w:r>
          </w:p>
        </w:tc>
      </w:tr>
      <w:tr w:rsidR="00B113E8" w:rsidRPr="00182703" w:rsidTr="00B113E8">
        <w:tc>
          <w:tcPr>
            <w:tcW w:w="2750" w:type="dxa"/>
          </w:tcPr>
          <w:p w:rsidR="00B113E8" w:rsidRPr="00182703" w:rsidRDefault="00B113E8" w:rsidP="00182703">
            <w:pPr>
              <w:jc w:val="center"/>
              <w:rPr>
                <w:b/>
              </w:rPr>
            </w:pPr>
            <w:r w:rsidRPr="00182703">
              <w:rPr>
                <w:b/>
              </w:rPr>
              <w:t>CELKEM</w:t>
            </w:r>
          </w:p>
        </w:tc>
        <w:tc>
          <w:tcPr>
            <w:tcW w:w="2747" w:type="dxa"/>
          </w:tcPr>
          <w:p w:rsidR="00B113E8" w:rsidRPr="00182703" w:rsidRDefault="00B113E8" w:rsidP="00182703">
            <w:pPr>
              <w:jc w:val="center"/>
              <w:rPr>
                <w:b/>
              </w:rPr>
            </w:pPr>
            <w:r w:rsidRPr="00182703">
              <w:rPr>
                <w:b/>
              </w:rPr>
              <w:t>1160</w:t>
            </w:r>
          </w:p>
        </w:tc>
        <w:tc>
          <w:tcPr>
            <w:tcW w:w="2747" w:type="dxa"/>
          </w:tcPr>
          <w:p w:rsidR="00B113E8" w:rsidRPr="00182703" w:rsidRDefault="00B113E8" w:rsidP="00182703">
            <w:pPr>
              <w:jc w:val="center"/>
              <w:rPr>
                <w:b/>
              </w:rPr>
            </w:pPr>
            <w:r>
              <w:rPr>
                <w:b/>
              </w:rPr>
              <w:t>1292</w:t>
            </w:r>
          </w:p>
        </w:tc>
        <w:tc>
          <w:tcPr>
            <w:tcW w:w="2519" w:type="dxa"/>
          </w:tcPr>
          <w:p w:rsidR="00B113E8" w:rsidRDefault="00B113E8" w:rsidP="00182703">
            <w:pPr>
              <w:jc w:val="center"/>
              <w:rPr>
                <w:b/>
              </w:rPr>
            </w:pPr>
            <w:r>
              <w:rPr>
                <w:b/>
              </w:rPr>
              <w:t>1035</w:t>
            </w:r>
          </w:p>
        </w:tc>
      </w:tr>
    </w:tbl>
    <w:p w:rsidR="00D45C8E" w:rsidRPr="00D45C8E" w:rsidRDefault="00D45C8E" w:rsidP="00D45C8E">
      <w:pPr>
        <w:ind w:left="567"/>
        <w:jc w:val="right"/>
      </w:pPr>
      <w:r>
        <w:t>Zdroj: EKOSPOL</w:t>
      </w:r>
    </w:p>
    <w:p w:rsidR="00781FAA" w:rsidRDefault="00781FAA" w:rsidP="00336F48">
      <w:pPr>
        <w:ind w:left="567" w:right="141"/>
        <w:jc w:val="center"/>
        <w:rPr>
          <w:rFonts w:ascii="Arial" w:hAnsi="Arial" w:cs="Arial"/>
          <w:sz w:val="24"/>
        </w:rPr>
      </w:pPr>
    </w:p>
    <w:p w:rsidR="00E84D2A" w:rsidRDefault="00E84D2A" w:rsidP="00E84D2A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 dostupných bytů doplňují prodejní statistiky, které </w:t>
      </w:r>
      <w:r w:rsidRPr="00B23717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zveřejnil v minulých týdnech. Podle nich se ve třetím čtvrtletí letošního roku v Praze prodalo nejméně nových bytů za posledních šest let, celkem jen 1035 nových bytů za 6,43 miliardy korun. Z hlediska počtu jde o meziroční </w:t>
      </w:r>
      <w:r>
        <w:rPr>
          <w:rFonts w:ascii="Arial" w:hAnsi="Arial" w:cs="Arial"/>
          <w:sz w:val="24"/>
        </w:rPr>
        <w:lastRenderedPageBreak/>
        <w:t>pokles o 17,4 procenta. P</w:t>
      </w:r>
      <w:r w:rsidRPr="00B113E8">
        <w:rPr>
          <w:rFonts w:ascii="Arial" w:hAnsi="Arial" w:cs="Arial"/>
          <w:sz w:val="24"/>
        </w:rPr>
        <w:t>růměrná cena nových bytů v nabídkách developerů od začátku roku vzrostla už o 11 procent na 94 894 korun za metr čtvereční. Naopak rozloha průměrného nabízeného bytu se opět o něco zmenšila a dosahuje 64,43 metru čtverečního. Za průměrný byt tak zájemce musí zaplatit 6,1 milionu korun.</w:t>
      </w:r>
    </w:p>
    <w:p w:rsidR="00E84D2A" w:rsidRDefault="00E84D2A" w:rsidP="00336F48">
      <w:pPr>
        <w:ind w:left="567" w:right="141"/>
        <w:jc w:val="center"/>
        <w:rPr>
          <w:rFonts w:ascii="Arial" w:hAnsi="Arial" w:cs="Arial"/>
          <w:sz w:val="24"/>
        </w:rPr>
      </w:pPr>
    </w:p>
    <w:p w:rsidR="00696374" w:rsidRPr="001B63F9" w:rsidRDefault="00696374" w:rsidP="00696374">
      <w:pPr>
        <w:pStyle w:val="Podtitul"/>
        <w:ind w:left="567"/>
        <w:rPr>
          <w:b/>
          <w:sz w:val="28"/>
          <w:szCs w:val="28"/>
        </w:rPr>
      </w:pPr>
      <w:r w:rsidRPr="001B63F9">
        <w:rPr>
          <w:b/>
          <w:sz w:val="28"/>
          <w:szCs w:val="28"/>
        </w:rPr>
        <w:t>Metodiku EKOSPOLU dlouhodobě používá i IPR</w:t>
      </w:r>
    </w:p>
    <w:p w:rsidR="00696374" w:rsidRDefault="00696374" w:rsidP="00696374">
      <w:pPr>
        <w:ind w:left="567" w:right="141"/>
        <w:rPr>
          <w:rFonts w:ascii="Arial" w:hAnsi="Arial" w:cs="Arial"/>
          <w:sz w:val="24"/>
        </w:rPr>
      </w:pPr>
      <w:r w:rsidRPr="0016073C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>, který</w:t>
      </w:r>
      <w:r w:rsidRPr="0016073C">
        <w:rPr>
          <w:rFonts w:ascii="Arial" w:hAnsi="Arial" w:cs="Arial"/>
          <w:sz w:val="24"/>
        </w:rPr>
        <w:t xml:space="preserve"> je dlouhodobým lídrem bytové výstavby v České republice</w:t>
      </w:r>
      <w:r>
        <w:rPr>
          <w:rFonts w:ascii="Arial" w:hAnsi="Arial" w:cs="Arial"/>
          <w:sz w:val="24"/>
        </w:rPr>
        <w:t xml:space="preserve">, monitoruje trh s novými byty v Praze více než deset let. </w:t>
      </w:r>
      <w:r w:rsidRPr="001B63F9">
        <w:rPr>
          <w:rFonts w:ascii="Arial" w:hAnsi="Arial" w:cs="Arial"/>
          <w:sz w:val="24"/>
        </w:rPr>
        <w:t>Od počátku bez jakékoliv změny používá metodiku, která nejvěrněji zachycuje skutečné dění na trhu</w:t>
      </w:r>
      <w:r>
        <w:rPr>
          <w:rFonts w:ascii="Arial" w:hAnsi="Arial" w:cs="Arial"/>
          <w:sz w:val="24"/>
        </w:rPr>
        <w:t xml:space="preserve"> s novými byty v hlavním městě a aktuální poptávku klientů</w:t>
      </w:r>
      <w:r w:rsidRPr="001B63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Správnost této metodiky potvrzuje fakt, že ji dlouhodobě využívá také Institut plánování a rozvoje hlavního města Prahy (IPR). </w:t>
      </w:r>
      <w:r w:rsidRPr="00A5336B">
        <w:rPr>
          <w:rFonts w:ascii="Arial" w:hAnsi="Arial" w:cs="Arial"/>
          <w:sz w:val="24"/>
        </w:rPr>
        <w:t>Využil ji i ve své analýze developerských projektů 201</w:t>
      </w:r>
      <w:r>
        <w:rPr>
          <w:rFonts w:ascii="Arial" w:hAnsi="Arial" w:cs="Arial"/>
          <w:sz w:val="24"/>
        </w:rPr>
        <w:t>7 (</w:t>
      </w:r>
      <w:r w:rsidRPr="00676815">
        <w:rPr>
          <w:rStyle w:val="Hypertextovodkaz"/>
          <w:rFonts w:ascii="Helvetica" w:hAnsi="Helvetica"/>
          <w:sz w:val="23"/>
          <w:szCs w:val="23"/>
        </w:rPr>
        <w:t>https://bit.ly/2SboeI7</w:t>
      </w:r>
      <w:r>
        <w:rPr>
          <w:rFonts w:ascii="Arial" w:hAnsi="Arial" w:cs="Arial"/>
          <w:sz w:val="24"/>
        </w:rPr>
        <w:t>).</w:t>
      </w:r>
    </w:p>
    <w:p w:rsidR="00696374" w:rsidRDefault="00696374" w:rsidP="00696374">
      <w:pPr>
        <w:ind w:left="567" w:right="141"/>
        <w:rPr>
          <w:rFonts w:ascii="Arial" w:hAnsi="Arial" w:cs="Arial"/>
          <w:sz w:val="24"/>
        </w:rPr>
      </w:pPr>
    </w:p>
    <w:p w:rsidR="001520C0" w:rsidRPr="00EB5A1E" w:rsidRDefault="00696374" w:rsidP="00EB5A1E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>Během 2</w:t>
      </w:r>
      <w:r>
        <w:rPr>
          <w:rFonts w:ascii="Arial" w:hAnsi="Arial" w:cs="Arial"/>
          <w:sz w:val="24"/>
        </w:rPr>
        <w:t>6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53 velkých developerských projektů pro více než 10000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</w:t>
      </w:r>
      <w:bookmarkStart w:id="0" w:name="_GoBack"/>
      <w:bookmarkEnd w:id="0"/>
    </w:p>
    <w:sectPr w:rsidR="001520C0" w:rsidRPr="00EB5A1E" w:rsidSect="00032A69">
      <w:headerReference w:type="default" r:id="rId8"/>
      <w:footerReference w:type="default" r:id="rId9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32" w:rsidRDefault="00DF1032" w:rsidP="00034CB5">
      <w:pPr>
        <w:spacing w:after="0" w:line="240" w:lineRule="auto"/>
      </w:pPr>
      <w:r>
        <w:separator/>
      </w:r>
    </w:p>
  </w:endnote>
  <w:endnote w:type="continuationSeparator" w:id="0">
    <w:p w:rsidR="00DF1032" w:rsidRDefault="00DF1032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846623">
      <w:rPr>
        <w:noProof/>
        <w:lang w:eastAsia="cs-CZ"/>
      </w:rPr>
      <w:drawing>
        <wp:inline distT="0" distB="0" distL="0" distR="0" wp14:anchorId="69CF6BCA" wp14:editId="55671B5E">
          <wp:extent cx="6772275" cy="1005961"/>
          <wp:effectExtent l="0" t="0" r="0" b="3810"/>
          <wp:docPr id="5" name="Obrázek 5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32" w:rsidRDefault="00DF1032" w:rsidP="00034CB5">
      <w:pPr>
        <w:spacing w:after="0" w:line="240" w:lineRule="auto"/>
      </w:pPr>
      <w:r>
        <w:separator/>
      </w:r>
    </w:p>
  </w:footnote>
  <w:footnote w:type="continuationSeparator" w:id="0">
    <w:p w:rsidR="00DF1032" w:rsidRDefault="00DF1032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696374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C96F79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C40509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696374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C96F79"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C40509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111C0"/>
    <w:rsid w:val="000300E0"/>
    <w:rsid w:val="00032A69"/>
    <w:rsid w:val="00034CB5"/>
    <w:rsid w:val="00036A53"/>
    <w:rsid w:val="00040F33"/>
    <w:rsid w:val="000C1073"/>
    <w:rsid w:val="000C34D5"/>
    <w:rsid w:val="000D0021"/>
    <w:rsid w:val="000E4BBB"/>
    <w:rsid w:val="000E587B"/>
    <w:rsid w:val="001520C0"/>
    <w:rsid w:val="00182703"/>
    <w:rsid w:val="00193A02"/>
    <w:rsid w:val="001F2B38"/>
    <w:rsid w:val="001F4901"/>
    <w:rsid w:val="002053C2"/>
    <w:rsid w:val="00247C31"/>
    <w:rsid w:val="002837F5"/>
    <w:rsid w:val="002B5EFF"/>
    <w:rsid w:val="003067F5"/>
    <w:rsid w:val="00310753"/>
    <w:rsid w:val="00331517"/>
    <w:rsid w:val="00336F48"/>
    <w:rsid w:val="00377CC6"/>
    <w:rsid w:val="00380544"/>
    <w:rsid w:val="003E31F2"/>
    <w:rsid w:val="003F3E2C"/>
    <w:rsid w:val="0043307A"/>
    <w:rsid w:val="00442561"/>
    <w:rsid w:val="004778BD"/>
    <w:rsid w:val="0048550A"/>
    <w:rsid w:val="004B2338"/>
    <w:rsid w:val="004D6A0E"/>
    <w:rsid w:val="004E48ED"/>
    <w:rsid w:val="004F4352"/>
    <w:rsid w:val="00506043"/>
    <w:rsid w:val="00532A74"/>
    <w:rsid w:val="00540256"/>
    <w:rsid w:val="005443F2"/>
    <w:rsid w:val="005506CA"/>
    <w:rsid w:val="00576722"/>
    <w:rsid w:val="005E7F58"/>
    <w:rsid w:val="005F0AA3"/>
    <w:rsid w:val="00603447"/>
    <w:rsid w:val="00634A5C"/>
    <w:rsid w:val="0065735D"/>
    <w:rsid w:val="0066288C"/>
    <w:rsid w:val="00696374"/>
    <w:rsid w:val="006B0170"/>
    <w:rsid w:val="006F0AAB"/>
    <w:rsid w:val="007017A2"/>
    <w:rsid w:val="00711511"/>
    <w:rsid w:val="00735F05"/>
    <w:rsid w:val="007447F2"/>
    <w:rsid w:val="00757649"/>
    <w:rsid w:val="00781FAA"/>
    <w:rsid w:val="007872D0"/>
    <w:rsid w:val="007B31C6"/>
    <w:rsid w:val="007C71B4"/>
    <w:rsid w:val="007C7F02"/>
    <w:rsid w:val="007D422C"/>
    <w:rsid w:val="008071D0"/>
    <w:rsid w:val="00823198"/>
    <w:rsid w:val="008300B5"/>
    <w:rsid w:val="00844A56"/>
    <w:rsid w:val="00846623"/>
    <w:rsid w:val="008467E0"/>
    <w:rsid w:val="00876C41"/>
    <w:rsid w:val="0087728C"/>
    <w:rsid w:val="009410F3"/>
    <w:rsid w:val="009B2A00"/>
    <w:rsid w:val="009C7404"/>
    <w:rsid w:val="009D73FA"/>
    <w:rsid w:val="009E24C5"/>
    <w:rsid w:val="009F0CEF"/>
    <w:rsid w:val="009F2D0B"/>
    <w:rsid w:val="009F570F"/>
    <w:rsid w:val="00A03D97"/>
    <w:rsid w:val="00A04C3E"/>
    <w:rsid w:val="00A51229"/>
    <w:rsid w:val="00AB6551"/>
    <w:rsid w:val="00AF1023"/>
    <w:rsid w:val="00AF11AF"/>
    <w:rsid w:val="00B113E8"/>
    <w:rsid w:val="00B15A9B"/>
    <w:rsid w:val="00B23717"/>
    <w:rsid w:val="00B420FA"/>
    <w:rsid w:val="00B55878"/>
    <w:rsid w:val="00B80331"/>
    <w:rsid w:val="00B861B2"/>
    <w:rsid w:val="00BA6512"/>
    <w:rsid w:val="00C13E40"/>
    <w:rsid w:val="00C269D1"/>
    <w:rsid w:val="00C40509"/>
    <w:rsid w:val="00C61346"/>
    <w:rsid w:val="00C775A1"/>
    <w:rsid w:val="00C81027"/>
    <w:rsid w:val="00C81977"/>
    <w:rsid w:val="00C96F79"/>
    <w:rsid w:val="00CB4C02"/>
    <w:rsid w:val="00D40A47"/>
    <w:rsid w:val="00D45C8E"/>
    <w:rsid w:val="00D94EC2"/>
    <w:rsid w:val="00DA20F9"/>
    <w:rsid w:val="00DA4EE8"/>
    <w:rsid w:val="00DB32C7"/>
    <w:rsid w:val="00DC23FC"/>
    <w:rsid w:val="00DC3F17"/>
    <w:rsid w:val="00DC7F1D"/>
    <w:rsid w:val="00DF1032"/>
    <w:rsid w:val="00E0579E"/>
    <w:rsid w:val="00E45C43"/>
    <w:rsid w:val="00E50A70"/>
    <w:rsid w:val="00E84D2A"/>
    <w:rsid w:val="00E93DF7"/>
    <w:rsid w:val="00EB5A1E"/>
    <w:rsid w:val="00F2497D"/>
    <w:rsid w:val="00F2792B"/>
    <w:rsid w:val="00F53EB2"/>
    <w:rsid w:val="00F7291A"/>
    <w:rsid w:val="00F80600"/>
    <w:rsid w:val="00F82B18"/>
    <w:rsid w:val="00FC6630"/>
    <w:rsid w:val="00FD21FD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4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8536-056A-439C-8B49-F0648BF6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6</cp:revision>
  <cp:lastPrinted>2018-11-13T10:12:00Z</cp:lastPrinted>
  <dcterms:created xsi:type="dcterms:W3CDTF">2018-11-13T09:57:00Z</dcterms:created>
  <dcterms:modified xsi:type="dcterms:W3CDTF">2018-11-13T13:40:00Z</dcterms:modified>
</cp:coreProperties>
</file>