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175A6D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 xml:space="preserve">Stavebnictví </w:t>
      </w:r>
      <w:r w:rsidR="0075208D">
        <w:rPr>
          <w:rFonts w:ascii="Arial" w:hAnsi="Arial" w:cs="Arial"/>
          <w:b/>
          <w:sz w:val="43"/>
          <w:szCs w:val="43"/>
        </w:rPr>
        <w:t>má za sebou úspěšný rok, bytová výstavba však stále pokulhává za poptávkou</w:t>
      </w:r>
    </w:p>
    <w:p w:rsidR="0075208D" w:rsidRDefault="0075208D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6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2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9B0C52">
        <w:rPr>
          <w:rFonts w:ascii="Arial" w:hAnsi="Arial" w:cs="Arial"/>
          <w:color w:val="000000" w:themeColor="text1"/>
          <w:sz w:val="24"/>
        </w:rPr>
        <w:t>9,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 Praha – </w:t>
      </w:r>
      <w:r>
        <w:rPr>
          <w:rFonts w:ascii="Arial" w:hAnsi="Arial" w:cs="Arial"/>
          <w:color w:val="000000" w:themeColor="text1"/>
          <w:sz w:val="24"/>
        </w:rPr>
        <w:t xml:space="preserve">České stavebnictví má za sebou úspěšný rok. Stavební produkce loni podle aktuálních dat Českého statistického úřadu (ČSÚ) meziročně vzrostla </w:t>
      </w:r>
      <w:r w:rsidR="00DA7481">
        <w:rPr>
          <w:rFonts w:ascii="Arial" w:hAnsi="Arial" w:cs="Arial"/>
          <w:color w:val="000000" w:themeColor="text1"/>
          <w:sz w:val="24"/>
        </w:rPr>
        <w:t xml:space="preserve">8,4 </w:t>
      </w:r>
      <w:proofErr w:type="gramStart"/>
      <w:r w:rsidR="00DA7481">
        <w:rPr>
          <w:rFonts w:ascii="Arial" w:hAnsi="Arial" w:cs="Arial"/>
          <w:color w:val="000000" w:themeColor="text1"/>
          <w:sz w:val="24"/>
        </w:rPr>
        <w:t xml:space="preserve">procenta. </w:t>
      </w:r>
      <w:proofErr w:type="gramEnd"/>
      <w:r w:rsidR="00DA7481">
        <w:rPr>
          <w:rFonts w:ascii="Arial" w:hAnsi="Arial" w:cs="Arial"/>
          <w:color w:val="000000" w:themeColor="text1"/>
          <w:sz w:val="24"/>
        </w:rPr>
        <w:t xml:space="preserve">Na tomto růstu se podílelo jak pozemní, tak inženýrské stavitelství. Velké stavební firmy loni uzavřely více než 63 tisíc zakázek s celkovou hodnotou </w:t>
      </w:r>
      <w:r w:rsidR="00DA7481" w:rsidRPr="00DA7481">
        <w:rPr>
          <w:rFonts w:ascii="Arial" w:hAnsi="Arial" w:cs="Arial"/>
          <w:color w:val="000000" w:themeColor="text1"/>
          <w:sz w:val="24"/>
        </w:rPr>
        <w:t>235,9</w:t>
      </w:r>
      <w:r w:rsidR="00DA7481">
        <w:rPr>
          <w:rFonts w:ascii="Arial" w:hAnsi="Arial" w:cs="Arial"/>
          <w:color w:val="000000" w:themeColor="text1"/>
          <w:sz w:val="24"/>
        </w:rPr>
        <w:t xml:space="preserve"> miliardy korun, což bylo o 16,4 procenta více než o rok dříve. </w:t>
      </w:r>
      <w:r w:rsidR="00DA7481" w:rsidRPr="00DA7481">
        <w:rPr>
          <w:rFonts w:ascii="Arial" w:hAnsi="Arial" w:cs="Arial"/>
          <w:color w:val="000000" w:themeColor="text1"/>
          <w:sz w:val="24"/>
        </w:rPr>
        <w:t xml:space="preserve">Průměrná hodnota nově uzavřené stavební zakázky </w:t>
      </w:r>
      <w:r w:rsidR="00DA7481">
        <w:rPr>
          <w:rFonts w:ascii="Arial" w:hAnsi="Arial" w:cs="Arial"/>
          <w:color w:val="000000" w:themeColor="text1"/>
          <w:sz w:val="24"/>
        </w:rPr>
        <w:t xml:space="preserve">vzrostla o 13 procent na 3,7 milionu korun. Naopak počet vydaných stavebních povolení klesl o 3,6 procenta. </w:t>
      </w:r>
    </w:p>
    <w:p w:rsidR="00475741" w:rsidRDefault="00DA748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Loni se začalo stavět také více bytů, v celé republice začaly firmy stavět 33 121 nových bytů (tedy o 5,1 procenta více než o rok dříve). V tom jsou však zahrnuty i rekonstrukce stávajících budov, kde by mělo vzniknout přes 5,5 tisíce bytů. Také v Praze tento ukazatel o něco vzrostl, když se začalo stavět 4218 bytů, přičemž v novostavbách jich bylo 3553. Pokud jde o bytové domy, tak zde začalo vznikat 2687 nových bytů. To je sice o rovných 200 víc než v roce 2017, přesto ani tento nepatrný nárůst současnou krizi na realitním trhu příliš neovlivní.</w:t>
      </w:r>
    </w:p>
    <w:p w:rsidR="0075208D" w:rsidRDefault="00DA748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Pořád je to totiž výrazně méně, než kolik nových bytů v rezidenčních projektech se ročně prodá.</w:t>
      </w:r>
      <w:r w:rsidR="00475741">
        <w:rPr>
          <w:rFonts w:ascii="Arial" w:hAnsi="Arial" w:cs="Arial"/>
          <w:color w:val="000000" w:themeColor="text1"/>
          <w:sz w:val="24"/>
        </w:rPr>
        <w:t xml:space="preserve"> Loni developeři prodali celkem 4530 nových </w:t>
      </w:r>
      <w:proofErr w:type="gramStart"/>
      <w:r w:rsidR="00475741">
        <w:rPr>
          <w:rFonts w:ascii="Arial" w:hAnsi="Arial" w:cs="Arial"/>
          <w:color w:val="000000" w:themeColor="text1"/>
          <w:sz w:val="24"/>
        </w:rPr>
        <w:t xml:space="preserve">bytů. </w:t>
      </w:r>
      <w:proofErr w:type="gramEnd"/>
      <w:r w:rsidR="00475741">
        <w:rPr>
          <w:rFonts w:ascii="Arial" w:hAnsi="Arial" w:cs="Arial"/>
          <w:color w:val="000000" w:themeColor="text1"/>
          <w:sz w:val="24"/>
        </w:rPr>
        <w:t>Přestože jde o nejhorší číslo za posledních šest let, i tak to vedlo k prohloubení deficitu dostupných bytů. Ten se jen za loňský rok navýšil o více než 1800 bytů. To je rozdíl mezi reálnými prodeji a zahájenou výstavbou.</w:t>
      </w:r>
    </w:p>
    <w:p w:rsidR="0075208D" w:rsidRDefault="0047574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Zajímavé je také porovnání mezi kraji. Praha loni definitivně ztratila první pozici v bytové výstavbě, když ji v čele tohoto žebříčku vystřídal Středočeský kraj. Tam se nově začalo stavět 5465 nových bytů, což je takřka o dva tisíce více než v hlavním městě. Potvrzuje se tak to, že lidé z Prahy utíkají bydlet do okolních obcí, které kvůli neschopnosti hlavního města vyřešit problém s nedostupným bydlením zažívají nezdravý enormní růst. S velkým přílivem uprchlíků z Prahy se Středočeský kraj bude muset vyrovnávat i v příštích letech, protože se nezdá, že by se problém se zaseknutou bytovou výstavbou podařilo magistrátu v dohledné době vyřešit.</w:t>
      </w:r>
    </w:p>
    <w:p w:rsidR="00475741" w:rsidRDefault="0047574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Recept je přitom jednoduchý: urychleně odblokovat výstavbu na rozvojových územích a připravit nové plochy pro bydlení. Zároveň dát pokyn stavebním úřadům, aby žádosti investorů posuzovaly výrazně rychleji. To se týká i městských firem, které se často ke stavebním záměrům vyjadřují. Není možné, aby to jedné společnosti trvalo tři měsíce a jiná se nevyjádřila ani po roce. Dokud bude vedení města, které nominuje lidi do vedení těchto firem, tyto průtahy tolerovat, tak jakékoliv sliby o vyřešení bytové krize budou pouhými </w:t>
      </w:r>
      <w:r w:rsidR="00803C0F">
        <w:rPr>
          <w:rFonts w:ascii="Arial" w:hAnsi="Arial" w:cs="Arial"/>
          <w:color w:val="000000" w:themeColor="text1"/>
          <w:sz w:val="24"/>
        </w:rPr>
        <w:t xml:space="preserve">bezobsažnými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>proklamacemi.</w:t>
      </w:r>
    </w:p>
    <w:p w:rsidR="00475741" w:rsidRDefault="00475741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3F7682" w:rsidRDefault="003F7682" w:rsidP="00DB05E0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lastRenderedPageBreak/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3F7682" w:rsidRDefault="007A206A" w:rsidP="009757F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3F76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F3" w:rsidRDefault="00DF61F3" w:rsidP="00034CB5">
      <w:pPr>
        <w:spacing w:after="0" w:line="240" w:lineRule="auto"/>
      </w:pPr>
      <w:r>
        <w:separator/>
      </w:r>
    </w:p>
  </w:endnote>
  <w:endnote w:type="continuationSeparator" w:id="0">
    <w:p w:rsidR="00DF61F3" w:rsidRDefault="00DF61F3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F3" w:rsidRDefault="00DF61F3" w:rsidP="00034CB5">
      <w:pPr>
        <w:spacing w:after="0" w:line="240" w:lineRule="auto"/>
      </w:pPr>
      <w:r>
        <w:separator/>
      </w:r>
    </w:p>
  </w:footnote>
  <w:footnote w:type="continuationSeparator" w:id="0">
    <w:p w:rsidR="00DF61F3" w:rsidRDefault="00DF61F3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75208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9B0C5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75208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9B0C52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5F90"/>
    <w:rsid w:val="00036A53"/>
    <w:rsid w:val="00061EF8"/>
    <w:rsid w:val="000743B2"/>
    <w:rsid w:val="00084DDE"/>
    <w:rsid w:val="00087948"/>
    <w:rsid w:val="000C1A18"/>
    <w:rsid w:val="000D0021"/>
    <w:rsid w:val="000E1104"/>
    <w:rsid w:val="000F335A"/>
    <w:rsid w:val="000F71CA"/>
    <w:rsid w:val="00110F7D"/>
    <w:rsid w:val="0016145C"/>
    <w:rsid w:val="00167389"/>
    <w:rsid w:val="00175A6D"/>
    <w:rsid w:val="001A7E05"/>
    <w:rsid w:val="001C69EF"/>
    <w:rsid w:val="001E55DD"/>
    <w:rsid w:val="001F5CC4"/>
    <w:rsid w:val="002053C2"/>
    <w:rsid w:val="002063E0"/>
    <w:rsid w:val="00210C37"/>
    <w:rsid w:val="002178DB"/>
    <w:rsid w:val="002344E8"/>
    <w:rsid w:val="00237159"/>
    <w:rsid w:val="00242738"/>
    <w:rsid w:val="002939C6"/>
    <w:rsid w:val="002B32E3"/>
    <w:rsid w:val="002C1D81"/>
    <w:rsid w:val="002F1B85"/>
    <w:rsid w:val="003061AA"/>
    <w:rsid w:val="003239AE"/>
    <w:rsid w:val="00323E63"/>
    <w:rsid w:val="00381522"/>
    <w:rsid w:val="00385866"/>
    <w:rsid w:val="003870A5"/>
    <w:rsid w:val="00391271"/>
    <w:rsid w:val="003C452F"/>
    <w:rsid w:val="003D5D76"/>
    <w:rsid w:val="003E2230"/>
    <w:rsid w:val="003F4C8A"/>
    <w:rsid w:val="003F7682"/>
    <w:rsid w:val="004019BF"/>
    <w:rsid w:val="00401EEF"/>
    <w:rsid w:val="0041364F"/>
    <w:rsid w:val="004248DF"/>
    <w:rsid w:val="00432F85"/>
    <w:rsid w:val="00443B97"/>
    <w:rsid w:val="00447100"/>
    <w:rsid w:val="00470205"/>
    <w:rsid w:val="00475741"/>
    <w:rsid w:val="004778BD"/>
    <w:rsid w:val="004925BC"/>
    <w:rsid w:val="00492D98"/>
    <w:rsid w:val="004C4DFF"/>
    <w:rsid w:val="004E2265"/>
    <w:rsid w:val="004F10A8"/>
    <w:rsid w:val="005022F0"/>
    <w:rsid w:val="00505D9D"/>
    <w:rsid w:val="005305D8"/>
    <w:rsid w:val="00536572"/>
    <w:rsid w:val="00536838"/>
    <w:rsid w:val="00575E88"/>
    <w:rsid w:val="00590E2C"/>
    <w:rsid w:val="005A7AE1"/>
    <w:rsid w:val="005E0448"/>
    <w:rsid w:val="00603447"/>
    <w:rsid w:val="00614074"/>
    <w:rsid w:val="006150A6"/>
    <w:rsid w:val="00626B99"/>
    <w:rsid w:val="00633CC5"/>
    <w:rsid w:val="006363C0"/>
    <w:rsid w:val="00675481"/>
    <w:rsid w:val="0067693A"/>
    <w:rsid w:val="006771DD"/>
    <w:rsid w:val="00680985"/>
    <w:rsid w:val="006B5984"/>
    <w:rsid w:val="0070517B"/>
    <w:rsid w:val="007435CE"/>
    <w:rsid w:val="0075208D"/>
    <w:rsid w:val="00787934"/>
    <w:rsid w:val="007967DF"/>
    <w:rsid w:val="007A206A"/>
    <w:rsid w:val="007A387D"/>
    <w:rsid w:val="007C71B4"/>
    <w:rsid w:val="007D0424"/>
    <w:rsid w:val="007E0D6F"/>
    <w:rsid w:val="007E576A"/>
    <w:rsid w:val="00803C0F"/>
    <w:rsid w:val="008071D0"/>
    <w:rsid w:val="0082673E"/>
    <w:rsid w:val="008314B8"/>
    <w:rsid w:val="0083543B"/>
    <w:rsid w:val="0086486D"/>
    <w:rsid w:val="008762B1"/>
    <w:rsid w:val="0088016A"/>
    <w:rsid w:val="00880967"/>
    <w:rsid w:val="00882C53"/>
    <w:rsid w:val="00884961"/>
    <w:rsid w:val="008A4560"/>
    <w:rsid w:val="008C05F9"/>
    <w:rsid w:val="008E2D4B"/>
    <w:rsid w:val="008F0BCD"/>
    <w:rsid w:val="00910F40"/>
    <w:rsid w:val="00911267"/>
    <w:rsid w:val="00913CFB"/>
    <w:rsid w:val="00924755"/>
    <w:rsid w:val="0094496E"/>
    <w:rsid w:val="009757F0"/>
    <w:rsid w:val="00975CDB"/>
    <w:rsid w:val="00975EB8"/>
    <w:rsid w:val="009A4CEA"/>
    <w:rsid w:val="009B0C52"/>
    <w:rsid w:val="009D4F11"/>
    <w:rsid w:val="009E2E40"/>
    <w:rsid w:val="009F1664"/>
    <w:rsid w:val="00A014CF"/>
    <w:rsid w:val="00A315F1"/>
    <w:rsid w:val="00A66035"/>
    <w:rsid w:val="00A801EE"/>
    <w:rsid w:val="00A97572"/>
    <w:rsid w:val="00AB0020"/>
    <w:rsid w:val="00AC0EFC"/>
    <w:rsid w:val="00AC5D7C"/>
    <w:rsid w:val="00AD282F"/>
    <w:rsid w:val="00AE5816"/>
    <w:rsid w:val="00AF5E7E"/>
    <w:rsid w:val="00B0754A"/>
    <w:rsid w:val="00B2288C"/>
    <w:rsid w:val="00B34457"/>
    <w:rsid w:val="00B63478"/>
    <w:rsid w:val="00B82C1D"/>
    <w:rsid w:val="00B92FB8"/>
    <w:rsid w:val="00BA0F4F"/>
    <w:rsid w:val="00BA3E54"/>
    <w:rsid w:val="00BE7D6D"/>
    <w:rsid w:val="00C06068"/>
    <w:rsid w:val="00C34385"/>
    <w:rsid w:val="00C363AF"/>
    <w:rsid w:val="00C448D5"/>
    <w:rsid w:val="00C600F4"/>
    <w:rsid w:val="00C60886"/>
    <w:rsid w:val="00C637C7"/>
    <w:rsid w:val="00C73A82"/>
    <w:rsid w:val="00C876E8"/>
    <w:rsid w:val="00CC2763"/>
    <w:rsid w:val="00CC63F0"/>
    <w:rsid w:val="00D00BCD"/>
    <w:rsid w:val="00D17842"/>
    <w:rsid w:val="00D200ED"/>
    <w:rsid w:val="00D33C70"/>
    <w:rsid w:val="00D46500"/>
    <w:rsid w:val="00D5337D"/>
    <w:rsid w:val="00D64D70"/>
    <w:rsid w:val="00D66CA2"/>
    <w:rsid w:val="00D7257F"/>
    <w:rsid w:val="00D946A2"/>
    <w:rsid w:val="00DA7481"/>
    <w:rsid w:val="00DB05E0"/>
    <w:rsid w:val="00DF1D07"/>
    <w:rsid w:val="00DF3D93"/>
    <w:rsid w:val="00DF61F3"/>
    <w:rsid w:val="00E026D3"/>
    <w:rsid w:val="00E03791"/>
    <w:rsid w:val="00E10C75"/>
    <w:rsid w:val="00E36F8B"/>
    <w:rsid w:val="00E45448"/>
    <w:rsid w:val="00E50AF1"/>
    <w:rsid w:val="00E672A0"/>
    <w:rsid w:val="00E76E05"/>
    <w:rsid w:val="00E83953"/>
    <w:rsid w:val="00E90349"/>
    <w:rsid w:val="00E94889"/>
    <w:rsid w:val="00EB1562"/>
    <w:rsid w:val="00EB1B70"/>
    <w:rsid w:val="00EE6DAB"/>
    <w:rsid w:val="00EF30C6"/>
    <w:rsid w:val="00F14999"/>
    <w:rsid w:val="00F2497D"/>
    <w:rsid w:val="00F33532"/>
    <w:rsid w:val="00F502B2"/>
    <w:rsid w:val="00F527E8"/>
    <w:rsid w:val="00F538B8"/>
    <w:rsid w:val="00F5515B"/>
    <w:rsid w:val="00FA5B2A"/>
    <w:rsid w:val="00FA768F"/>
    <w:rsid w:val="00FC6630"/>
    <w:rsid w:val="00FD0556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C872-2F4E-459F-A2EB-AFF4199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2</cp:revision>
  <cp:lastPrinted>2019-01-08T09:17:00Z</cp:lastPrinted>
  <dcterms:created xsi:type="dcterms:W3CDTF">2019-02-06T08:42:00Z</dcterms:created>
  <dcterms:modified xsi:type="dcterms:W3CDTF">2019-02-06T08:42:00Z</dcterms:modified>
</cp:coreProperties>
</file>